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1ED0" w:rsidRDefault="007B3A84">
      <w:pPr>
        <w:jc w:val="center"/>
      </w:pPr>
      <w:bookmarkStart w:id="0" w:name="_GoBack"/>
      <w:bookmarkEnd w:id="0"/>
      <w:r>
        <w:rPr>
          <w:b/>
        </w:rPr>
        <w:t>Evidencia 1 corte 1 Temas selectos de Química 1 sem ago-dic 2014</w:t>
      </w:r>
    </w:p>
    <w:tbl>
      <w:tblPr>
        <w:tblStyle w:val="a"/>
        <w:tblW w:w="1285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950"/>
        <w:gridCol w:w="7905"/>
      </w:tblGrid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780"/>
              <w:jc w:val="both"/>
            </w:pPr>
            <w:r>
              <w:rPr>
                <w:b/>
                <w:sz w:val="28"/>
              </w:rPr>
              <w:t>a)       Actividades.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D41ED0">
            <w:pPr>
              <w:jc w:val="center"/>
            </w:pP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>Actividad 1:</w:t>
            </w:r>
          </w:p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>Actividad preliminar o introductoria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“Características, propiedades de los gases”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>Tipo de actividad: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Mixta a partir de una lectura en la plataforma chamilo los alumnos realizarán un mapa de conceptual de manera individual sobre las características y propiedades de la materia en su cuaderno para mostrarla en clase.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>Tiempo o período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11 de agosto esta la le</w:t>
            </w:r>
            <w:r>
              <w:rPr>
                <w:i/>
                <w:highlight w:val="white"/>
              </w:rPr>
              <w:t>ctura disponible en plataforma, la fecha de entrega es el 12 de agosto en clase como requisito para ingresar a clase.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both"/>
            </w:pPr>
            <w:r>
              <w:rPr>
                <w:b/>
                <w:highlight w:val="white"/>
              </w:rPr>
              <w:t>Fecha de Inicio:</w:t>
            </w:r>
            <w:r>
              <w:rPr>
                <w:highlight w:val="white"/>
              </w:rPr>
              <w:t xml:space="preserve"> 11 de agosto 2014</w:t>
            </w:r>
          </w:p>
          <w:p w:rsidR="00D41ED0" w:rsidRDefault="007B3A84">
            <w:pPr>
              <w:jc w:val="both"/>
            </w:pPr>
            <w:r>
              <w:rPr>
                <w:b/>
                <w:highlight w:val="white"/>
              </w:rPr>
              <w:t>Fecha de Entrega:</w:t>
            </w:r>
            <w:r>
              <w:rPr>
                <w:highlight w:val="white"/>
              </w:rPr>
              <w:t xml:space="preserve"> 12 de agosto 2014 en tu cuaderno sala de maestros 7:00 am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 xml:space="preserve"> </w:t>
            </w:r>
          </w:p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 xml:space="preserve"> </w:t>
            </w:r>
          </w:p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 xml:space="preserve"> </w:t>
            </w:r>
          </w:p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 xml:space="preserve"> </w:t>
            </w:r>
          </w:p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t>Instrucciones para el aprendizaje: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>1.-Lee los siguientes textos:  Los cuales se encuentran en la plataforma chamilo en la parte de lecciones:</w:t>
            </w:r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hyperlink r:id="rId5">
              <w:r>
                <w:rPr>
                  <w:i/>
                  <w:color w:val="0000FF"/>
                  <w:highlight w:val="white"/>
                  <w:u w:val="single"/>
                </w:rPr>
                <w:t>www.renitekweb.com</w:t>
              </w:r>
            </w:hyperlink>
            <w:hyperlink r:id="rId6">
              <w:r>
                <w:rPr>
                  <w:color w:val="0000FF"/>
                  <w:highlight w:val="white"/>
                  <w:u w:val="single"/>
                </w:rPr>
                <w:t>/cscbach2/</w:t>
              </w:r>
            </w:hyperlink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>2.-La primera es sobre las características y propiedades de los gases que está en el siguiente link:</w:t>
            </w:r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hyperlink r:id="rId7">
              <w:r>
                <w:rPr>
                  <w:i/>
                  <w:color w:val="0000FF"/>
                  <w:highlight w:val="white"/>
                  <w:u w:val="single"/>
                </w:rPr>
                <w:t>http://quimica.laguia2000.com/elementos-quimicos/los-gases-y-sus-caracteristicas</w:t>
              </w:r>
            </w:hyperlink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 xml:space="preserve">3.- La otra lectura para complementar  las características de los gases las cuales se encuentran en la plataforma chamilo en el icono de lecciones si lo </w:t>
            </w:r>
            <w:r>
              <w:rPr>
                <w:i/>
                <w:highlight w:val="white"/>
              </w:rPr>
              <w:lastRenderedPageBreak/>
              <w:t>requieres este es el</w:t>
            </w:r>
            <w:r>
              <w:rPr>
                <w:i/>
                <w:highlight w:val="white"/>
              </w:rPr>
              <w:t xml:space="preserve"> link para que entres directamente:</w:t>
            </w:r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hyperlink r:id="rId8">
              <w:r>
                <w:rPr>
                  <w:i/>
                  <w:color w:val="0000FF"/>
                  <w:highlight w:val="white"/>
                  <w:u w:val="single"/>
                </w:rPr>
                <w:t>http://www.cneq.unam.mx/cursos_diplomados/diplomados/medio_superior/ens_3/portafolios/quimica/equipo3/propiedadesdelosgases.htm</w:t>
              </w:r>
            </w:hyperlink>
          </w:p>
          <w:p w:rsidR="00D41ED0" w:rsidRDefault="007B3A84">
            <w:pPr>
              <w:jc w:val="center"/>
            </w:pPr>
            <w:r>
              <w:rPr>
                <w:b/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 xml:space="preserve">4.- Posteriormente </w:t>
            </w:r>
            <w:r>
              <w:rPr>
                <w:sz w:val="20"/>
                <w:highlight w:val="white"/>
              </w:rPr>
              <w:t>realiza un mapa conceptual con las ideas principales de las características de los gases definición, variab</w:t>
            </w:r>
            <w:r>
              <w:rPr>
                <w:sz w:val="20"/>
                <w:highlight w:val="white"/>
              </w:rPr>
              <w:t>les que lo definen. Si necesitas recordar cómo hacer un mapa conceptual entra a la página web.</w:t>
            </w:r>
          </w:p>
          <w:p w:rsidR="00D41ED0" w:rsidRDefault="007B3A84">
            <w:pPr>
              <w:spacing w:after="200"/>
              <w:jc w:val="both"/>
            </w:pPr>
            <w:hyperlink r:id="rId9">
              <w:r>
                <w:rPr>
                  <w:color w:val="0000FF"/>
                  <w:sz w:val="24"/>
                  <w:highlight w:val="white"/>
                  <w:u w:val="single"/>
                </w:rPr>
                <w:t>http://paula-delia-garcia-ruiz.webnode.mx/novedades/</w:t>
              </w:r>
            </w:hyperlink>
          </w:p>
          <w:p w:rsidR="00D41ED0" w:rsidRDefault="007B3A84">
            <w:pPr>
              <w:jc w:val="both"/>
            </w:pPr>
            <w:r>
              <w:rPr>
                <w:sz w:val="20"/>
                <w:highlight w:val="white"/>
              </w:rPr>
              <w:t>5.- Al final del mapa conceptual esc</w:t>
            </w:r>
            <w:r>
              <w:rPr>
                <w:sz w:val="20"/>
                <w:highlight w:val="white"/>
              </w:rPr>
              <w:t>ribirás una breve conclusión en donde analices en que fenómenos cotidianos se aplican.  Esta evidencia  se elaborará en tu cuaderno. En binas</w:t>
            </w:r>
          </w:p>
          <w:p w:rsidR="00D41ED0" w:rsidRDefault="007B3A84">
            <w:pPr>
              <w:jc w:val="both"/>
            </w:pPr>
            <w:r>
              <w:rPr>
                <w:sz w:val="20"/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r>
              <w:rPr>
                <w:sz w:val="20"/>
                <w:highlight w:val="white"/>
              </w:rPr>
              <w:t xml:space="preserve">6.- Consulta la rúbrica para diseñar dicha evidencia. </w:t>
            </w:r>
            <w:r>
              <w:rPr>
                <w:i/>
                <w:highlight w:val="white"/>
              </w:rPr>
              <w:t>Este trabajo es individual</w:t>
            </w:r>
            <w:r>
              <w:rPr>
                <w:highlight w:val="white"/>
              </w:rPr>
              <w:t>.</w:t>
            </w:r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 xml:space="preserve">7.- Para retomar la actividad </w:t>
            </w:r>
            <w:r>
              <w:rPr>
                <w:highlight w:val="white"/>
              </w:rPr>
              <w:t>en clase se proyecta un video sobre las propiedades y características de los gases para complementar la información obtenida.</w:t>
            </w:r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hyperlink r:id="rId10">
              <w:r>
                <w:rPr>
                  <w:i/>
                  <w:color w:val="0000FF"/>
                  <w:highlight w:val="white"/>
                  <w:u w:val="single"/>
                </w:rPr>
                <w:t>http://www.youtube.com/watch?v=xiPvW1BkHkM</w:t>
              </w:r>
            </w:hyperlink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>8.-Como cierre del te</w:t>
            </w:r>
            <w:r>
              <w:rPr>
                <w:highlight w:val="white"/>
              </w:rPr>
              <w:t>ma participaras en un foro discusión para lo cual entraras a la plataforma chamilo en el foro .¿Qué aplicaciones tienen las  características y propiedades de los gases en fenómenos cotidianos?</w:t>
            </w:r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 xml:space="preserve"> </w:t>
            </w:r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 xml:space="preserve"> 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 xml:space="preserve"> 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lastRenderedPageBreak/>
              <w:t>Recursos para el aprendizaje: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center"/>
            </w:pPr>
            <w:r>
              <w:rPr>
                <w:highlight w:val="white"/>
              </w:rPr>
              <w:t>1.- Computadora o PC</w:t>
            </w:r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>2.- Proyector</w:t>
            </w:r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>3.- Material impreso</w:t>
            </w:r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>4.- Plataformas virtuales</w:t>
            </w:r>
          </w:p>
          <w:p w:rsidR="00D41ED0" w:rsidRDefault="007B3A84">
            <w:pPr>
              <w:jc w:val="center"/>
            </w:pPr>
            <w:hyperlink r:id="rId11">
              <w:r>
                <w:rPr>
                  <w:i/>
                  <w:color w:val="0000FF"/>
                  <w:highlight w:val="white"/>
                  <w:u w:val="single"/>
                </w:rPr>
                <w:t>www.renitekweb.com/cscbach2/</w:t>
              </w:r>
            </w:hyperlink>
          </w:p>
          <w:p w:rsidR="00D41ED0" w:rsidRDefault="007B3A84">
            <w:pPr>
              <w:jc w:val="center"/>
            </w:pPr>
            <w:r>
              <w:rPr>
                <w:i/>
                <w:highlight w:val="white"/>
              </w:rPr>
              <w:t>5.- Páginas web</w:t>
            </w:r>
          </w:p>
          <w:p w:rsidR="00D41ED0" w:rsidRDefault="007B3A84">
            <w:pPr>
              <w:jc w:val="center"/>
            </w:pPr>
            <w:hyperlink r:id="rId12">
              <w:r>
                <w:rPr>
                  <w:i/>
                  <w:color w:val="0000FF"/>
                  <w:highlight w:val="white"/>
                  <w:u w:val="single"/>
                </w:rPr>
                <w:t>http://quimica.laguia2000.com/elementos-quimicos/los-gases-y-sus-caracteristicas</w:t>
              </w:r>
            </w:hyperlink>
          </w:p>
          <w:p w:rsidR="00D41ED0" w:rsidRDefault="007B3A84">
            <w:pPr>
              <w:jc w:val="center"/>
            </w:pPr>
            <w:hyperlink r:id="rId13">
              <w:r>
                <w:rPr>
                  <w:i/>
                  <w:color w:val="0000FF"/>
                  <w:highlight w:val="white"/>
                  <w:u w:val="single"/>
                </w:rPr>
                <w:t>http://www.cneq.unam.mx</w:t>
              </w:r>
              <w:r>
                <w:rPr>
                  <w:i/>
                  <w:color w:val="0000FF"/>
                  <w:highlight w:val="white"/>
                  <w:u w:val="single"/>
                </w:rPr>
                <w:t>/cursos_diplomados/diplomados/medio_superior/ens_3/portafolios/quimica/equipo3/propiedadesdelosgases.htm</w:t>
              </w:r>
            </w:hyperlink>
          </w:p>
          <w:p w:rsidR="00D41ED0" w:rsidRDefault="007B3A84">
            <w:pPr>
              <w:spacing w:after="200"/>
              <w:jc w:val="both"/>
            </w:pPr>
            <w:hyperlink r:id="rId14">
              <w:r>
                <w:rPr>
                  <w:color w:val="0000FF"/>
                  <w:sz w:val="24"/>
                  <w:highlight w:val="white"/>
                  <w:u w:val="single"/>
                </w:rPr>
                <w:t>http://paula-delia-garcia-ruiz.webnode.mx/novedades/</w:t>
              </w:r>
            </w:hyperlink>
          </w:p>
          <w:p w:rsidR="00D41ED0" w:rsidRDefault="007B3A84">
            <w:pPr>
              <w:jc w:val="center"/>
            </w:pPr>
            <w:r>
              <w:rPr>
                <w:highlight w:val="white"/>
              </w:rPr>
              <w:t>6.- Video</w:t>
            </w:r>
          </w:p>
          <w:p w:rsidR="00D41ED0" w:rsidRDefault="007B3A84">
            <w:pPr>
              <w:jc w:val="center"/>
            </w:pPr>
            <w:hyperlink r:id="rId15">
              <w:r>
                <w:rPr>
                  <w:i/>
                  <w:color w:val="0000FF"/>
                  <w:highlight w:val="white"/>
                  <w:u w:val="single"/>
                </w:rPr>
                <w:t>http://www.youtube.com/watch?v=xiPvW1BkHkM</w:t>
              </w:r>
            </w:hyperlink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lastRenderedPageBreak/>
              <w:t>Estrategias de aprendizaje: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i/>
                <w:highlight w:val="white"/>
              </w:rPr>
              <w:t>Inicio: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El docente: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Utilizando una presentación electrónica, promueve una investigación bibliográfica sobre las características de los gases; como son: expansibilidad, comprensibilidad, difusión, efusión y densidad, por lo que pide al alumno entrar a la plataforma chamilo o b</w:t>
            </w:r>
            <w:r>
              <w:rPr>
                <w:i/>
                <w:highlight w:val="white"/>
              </w:rPr>
              <w:t>ien directamente a los link.</w:t>
            </w:r>
          </w:p>
          <w:p w:rsidR="00D41ED0" w:rsidRDefault="007B3A84">
            <w:pPr>
              <w:jc w:val="both"/>
            </w:pPr>
            <w:r>
              <w:rPr>
                <w:b/>
                <w:i/>
                <w:highlight w:val="white"/>
              </w:rPr>
              <w:t>Desarrollo: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En su casa los alumnos , para elaborar un mapa conceptual sobre las principales ideas del tema,  ellos podrán revisar un documento en la página web para recordar como elaborar un mapa conceptual.se entrega en sala d</w:t>
            </w:r>
            <w:r>
              <w:rPr>
                <w:i/>
                <w:highlight w:val="white"/>
              </w:rPr>
              <w:t>e maestros en su cuaderno a las 7:00 am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 xml:space="preserve"> 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En clase: los alumnos y alumnas se integran en binas y comparten la información de su mapa para enriquecerlo.</w:t>
            </w:r>
          </w:p>
          <w:p w:rsidR="00D41ED0" w:rsidRDefault="007B3A84">
            <w:pPr>
              <w:jc w:val="both"/>
            </w:pPr>
            <w:r>
              <w:rPr>
                <w:b/>
                <w:i/>
                <w:highlight w:val="white"/>
              </w:rPr>
              <w:t>Cierre: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Para cerrar el docente muestra un video para reforzar los conceptos en plenaria, después promuev</w:t>
            </w:r>
            <w:r>
              <w:rPr>
                <w:i/>
                <w:highlight w:val="white"/>
              </w:rPr>
              <w:t>e la participación de los alumnos en un foro que se encuentra disponible en la plataforma chamilo en la parte de lecciones o bien en el icono de foros.</w:t>
            </w:r>
          </w:p>
          <w:p w:rsidR="00D41ED0" w:rsidRDefault="007B3A84">
            <w:pPr>
              <w:jc w:val="both"/>
            </w:pPr>
            <w:r>
              <w:rPr>
                <w:highlight w:val="white"/>
              </w:rPr>
              <w:t xml:space="preserve"> 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shd w:val="clear" w:color="auto" w:fill="B8CCE4"/>
              </w:rPr>
              <w:lastRenderedPageBreak/>
              <w:t>Estrategias y criterios de evaluación: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Mapa conceptual (rúbrica)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Foro de discusión Lista de cotejo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>Ver anexos</w:t>
            </w:r>
          </w:p>
          <w:p w:rsidR="00D41ED0" w:rsidRDefault="007B3A84">
            <w:pPr>
              <w:jc w:val="both"/>
            </w:pPr>
            <w:r>
              <w:rPr>
                <w:i/>
                <w:highlight w:val="white"/>
              </w:rPr>
              <w:t xml:space="preserve"> 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jc w:val="both"/>
            </w:pPr>
            <w:r>
              <w:rPr>
                <w:b/>
                <w:shd w:val="clear" w:color="auto" w:fill="8DB3E2"/>
              </w:rPr>
              <w:t xml:space="preserve">Recursos de la plataforma que utilizará en esta actividad </w:t>
            </w:r>
            <w:r>
              <w:rPr>
                <w:b/>
                <w:i/>
                <w:shd w:val="clear" w:color="auto" w:fill="8DB3E2"/>
              </w:rPr>
              <w:t>(Seleccione con una X el (los) recurso (s) que utilizará para desarrollar su actividad).</w:t>
            </w:r>
          </w:p>
        </w:tc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D41ED0">
            <w:pPr>
              <w:jc w:val="center"/>
            </w:pPr>
          </w:p>
        </w:tc>
      </w:tr>
    </w:tbl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D41ED0"/>
    <w:p w:rsidR="00D41ED0" w:rsidRDefault="007B3A84">
      <w:r>
        <w:t>Rúbrica para evaluar mapa conceptual:</w:t>
      </w:r>
    </w:p>
    <w:tbl>
      <w:tblPr>
        <w:tblStyle w:val="a0"/>
        <w:tblW w:w="1188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785"/>
        <w:gridCol w:w="2730"/>
        <w:gridCol w:w="2415"/>
        <w:gridCol w:w="2550"/>
        <w:gridCol w:w="2400"/>
      </w:tblGrid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>ASPECTOS</w:t>
            </w:r>
          </w:p>
        </w:tc>
        <w:tc>
          <w:tcPr>
            <w:tcW w:w="2730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CDDDAC"/>
              </w:rPr>
              <w:t>SOBRESALIENTE</w:t>
            </w:r>
          </w:p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CDDDAC"/>
              </w:rPr>
              <w:t>10</w:t>
            </w:r>
          </w:p>
        </w:tc>
        <w:tc>
          <w:tcPr>
            <w:tcW w:w="2415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>BUENO</w:t>
            </w:r>
          </w:p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>8-9</w:t>
            </w:r>
          </w:p>
        </w:tc>
        <w:tc>
          <w:tcPr>
            <w:tcW w:w="2550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CDDDAC"/>
              </w:rPr>
              <w:t>ACEPTABLE</w:t>
            </w:r>
          </w:p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CDDDAC"/>
              </w:rPr>
              <w:t>7-6</w:t>
            </w:r>
          </w:p>
        </w:tc>
        <w:tc>
          <w:tcPr>
            <w:tcW w:w="2400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>DEFICIENTE</w:t>
            </w:r>
          </w:p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>5-0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>Responsabilidad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 xml:space="preserve">Entrega en tiempo y en forma, y es capaz de retroalimentar a sus </w:t>
            </w:r>
            <w:r>
              <w:rPr>
                <w:sz w:val="20"/>
                <w:shd w:val="clear" w:color="auto" w:fill="CDDDAC"/>
              </w:rPr>
              <w:lastRenderedPageBreak/>
              <w:t>compañeros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E6EED5"/>
              </w:rPr>
              <w:lastRenderedPageBreak/>
              <w:t xml:space="preserve">Entrega en tiempo solo retroalimenta a su pareja pero no a </w:t>
            </w:r>
            <w:r>
              <w:rPr>
                <w:sz w:val="20"/>
                <w:shd w:val="clear" w:color="auto" w:fill="E6EED5"/>
              </w:rPr>
              <w:lastRenderedPageBreak/>
              <w:t>todos sus compañeros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lastRenderedPageBreak/>
              <w:t xml:space="preserve">Entrega en tiempo, pero no contribuye a retroalimentar a sus </w:t>
            </w:r>
            <w:r>
              <w:rPr>
                <w:sz w:val="20"/>
                <w:shd w:val="clear" w:color="auto" w:fill="CDDDAC"/>
              </w:rPr>
              <w:lastRenderedPageBreak/>
              <w:t>compañeros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E6EED5"/>
              </w:rPr>
              <w:lastRenderedPageBreak/>
              <w:t>No entrega en tiempo y no retroalimenta a sus compañeros.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lastRenderedPageBreak/>
              <w:t>Utiliza las líneas de enlace.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Utiliza las líneas de enlace uniendo significativamente los conceptos adecuados.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E6EED5"/>
              </w:rPr>
              <w:t>Utiliza las lí</w:t>
            </w:r>
            <w:r>
              <w:rPr>
                <w:sz w:val="20"/>
                <w:shd w:val="clear" w:color="auto" w:fill="E6EED5"/>
              </w:rPr>
              <w:t>neas de enlace pero no siempre genera significado.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Utiliza las líneas de enlace pero no genera significado con los conceptos.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E6EED5"/>
              </w:rPr>
              <w:t>No utiliza las líneas de enlace para unir conceptos.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CDDDAC"/>
              </w:rPr>
              <w:t>Reconoce los niveles de jerarquización.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El mapa conceptual está ordenado de una manera jerarquizada, significativa y fácil de leer.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El mapa conceptual está ordenado de una manera jerarquizada y significativa.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El mapa conceptual está ordenado y es significativo.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El mapa conceptual no se encuentra</w:t>
            </w:r>
            <w:r>
              <w:rPr>
                <w:sz w:val="20"/>
                <w:shd w:val="clear" w:color="auto" w:fill="CDDDAC"/>
              </w:rPr>
              <w:t xml:space="preserve"> ordenado.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 xml:space="preserve"> </w:t>
            </w:r>
          </w:p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>Lectura de texto.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Se identifica claramente la idea principal y más de cinco conceptos, sus líneas de enlace y proposiciones.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E6EED5"/>
              </w:rPr>
              <w:t>Sólo se identifican cinco conceptos, sus líneas de enlace y proposiciones.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Sólo se identifican conceptos y líneas de enlace.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E6EED5"/>
              </w:rPr>
              <w:t>No se identifican la idea principal ni los conceptos.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CDDDAC"/>
              </w:rPr>
              <w:t xml:space="preserve"> </w:t>
            </w:r>
          </w:p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CDDDAC"/>
              </w:rPr>
              <w:t xml:space="preserve"> </w:t>
            </w:r>
          </w:p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CDDDAC"/>
              </w:rPr>
              <w:t>Análisis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Selecciona las ideas principales, ideas secundarias y ordenan estas ideas en función de generar relación entre los conceptos.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Selecciona ideas principales, ideas secundarias y trata de relacionarlas entre conceptos.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Selecciona ideas principales e ideas secundarias, pero no relaciona los conceptos.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Selecciona sólo ideas secundarias y genera conceptos aislados.</w:t>
            </w:r>
          </w:p>
        </w:tc>
      </w:tr>
      <w:tr w:rsidR="00D41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 xml:space="preserve"> </w:t>
            </w:r>
          </w:p>
          <w:p w:rsidR="00D41ED0" w:rsidRDefault="007B3A84">
            <w:pPr>
              <w:ind w:left="100" w:right="100"/>
              <w:jc w:val="center"/>
            </w:pPr>
            <w:r>
              <w:rPr>
                <w:b/>
                <w:sz w:val="20"/>
                <w:shd w:val="clear" w:color="auto" w:fill="E6EED5"/>
              </w:rPr>
              <w:t>Explicación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La explicación el mapa es clara y detallada.</w:t>
            </w:r>
          </w:p>
          <w:p w:rsidR="00D41ED0" w:rsidRDefault="007B3A84">
            <w:pPr>
              <w:ind w:left="100" w:right="100"/>
            </w:pPr>
            <w:r>
              <w:rPr>
                <w:b/>
                <w:sz w:val="20"/>
                <w:shd w:val="clear" w:color="auto" w:fill="CDDDAC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E6EED5"/>
              </w:rPr>
              <w:t>La explicación del mapa es clara.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CDDDAC"/>
              </w:rPr>
              <w:t>La explicación es un poco difícil de entender pero extrae algunos conceptos claros y la idea principal.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ED0" w:rsidRDefault="007B3A84">
            <w:pPr>
              <w:ind w:left="100" w:right="100"/>
            </w:pPr>
            <w:r>
              <w:rPr>
                <w:sz w:val="20"/>
                <w:shd w:val="clear" w:color="auto" w:fill="E6EED5"/>
              </w:rPr>
              <w:t>La explicación es difícil de entender y contempla pocos conceptos.</w:t>
            </w:r>
          </w:p>
        </w:tc>
      </w:tr>
    </w:tbl>
    <w:p w:rsidR="00D41ED0" w:rsidRDefault="00D41ED0"/>
    <w:p w:rsidR="00D41ED0" w:rsidRDefault="00D41ED0"/>
    <w:sectPr w:rsidR="00D41ED0">
      <w:pgSz w:w="15840" w:h="122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41ED0"/>
    <w:rsid w:val="007B3A84"/>
    <w:rsid w:val="00D4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eq.unam.mx/cursos_diplomados/diplomados/medio_superior/ens_3/portafolios/quimica/equipo3/propiedadesdelosgases.htm" TargetMode="External"/><Relationship Id="rId13" Type="http://schemas.openxmlformats.org/officeDocument/2006/relationships/hyperlink" Target="http://www.cneq.unam.mx/cursos_diplomados/diplomados/medio_superior/ens_3/portafolios/quimica/equipo3/propiedadesdelosgas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imica.laguia2000.com/elementos-quimicos/los-gases-y-sus-caracteristicas" TargetMode="External"/><Relationship Id="rId12" Type="http://schemas.openxmlformats.org/officeDocument/2006/relationships/hyperlink" Target="http://quimica.laguia2000.com/elementos-quimicos/los-gases-y-sus-caracteristica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nitekweb.com/cscbach2/" TargetMode="External"/><Relationship Id="rId11" Type="http://schemas.openxmlformats.org/officeDocument/2006/relationships/hyperlink" Target="http://www.renitekweb.com/cscbach2/" TargetMode="External"/><Relationship Id="rId5" Type="http://schemas.openxmlformats.org/officeDocument/2006/relationships/hyperlink" Target="http://www.renitekweb.com/cscbach2/" TargetMode="External"/><Relationship Id="rId15" Type="http://schemas.openxmlformats.org/officeDocument/2006/relationships/hyperlink" Target="http://www.youtube.com/watch?v=xiPvW1BkHkM" TargetMode="External"/><Relationship Id="rId10" Type="http://schemas.openxmlformats.org/officeDocument/2006/relationships/hyperlink" Target="http://www.youtube.com/watch?v=xiPvW1BkH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ula-delia-garcia-ruiz.webnode.mx/novedades/" TargetMode="External"/><Relationship Id="rId14" Type="http://schemas.openxmlformats.org/officeDocument/2006/relationships/hyperlink" Target="http://paula-delia-garcia-ruiz.webnode.mx/novedad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evidencia 1 corte 1 TSQ1.docx</vt:lpstr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evidencia 1 corte 1 TSQ1.docx</dc:title>
  <dc:creator>win7</dc:creator>
  <cp:lastModifiedBy>win7</cp:lastModifiedBy>
  <cp:revision>2</cp:revision>
  <dcterms:created xsi:type="dcterms:W3CDTF">2014-08-11T21:13:00Z</dcterms:created>
  <dcterms:modified xsi:type="dcterms:W3CDTF">2014-08-11T21:13:00Z</dcterms:modified>
</cp:coreProperties>
</file>